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ascii="宋体" w:hAnsi="宋体" w:eastAsia="宋体"/>
          <w:b/>
          <w:bCs/>
          <w:sz w:val="28"/>
          <w:szCs w:val="28"/>
        </w:rPr>
      </w:pPr>
      <w:r>
        <w:rPr>
          <w:rFonts w:hint="eastAsia" w:ascii="宋体" w:hAnsi="宋体" w:eastAsia="宋体"/>
          <w:b/>
          <w:bCs/>
          <w:sz w:val="28"/>
          <w:szCs w:val="28"/>
        </w:rPr>
        <w:t>比选办法</w:t>
      </w:r>
    </w:p>
    <w:p>
      <w:pPr>
        <w:spacing w:line="360"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根据《四川省中医管理局机关内部控制手册》（试行）及部门文件，结合四川省中医药管理局实际情况制定本办法。</w:t>
      </w:r>
    </w:p>
    <w:p>
      <w:pPr>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本办法是择优确定中选供应商的依据，在评选过程中应充分体现公平、公正、合理的原则。</w:t>
      </w:r>
    </w:p>
    <w:p>
      <w:pPr>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采用“综合评分法”的评选方法。评选采用百分制，各评委独立分别对实质上响应比选文件的相关文件资料资质进行逐项打分，各项得分汇总后为该评委对该供应商的打分，各评委打分汇总后取平均分，该平均分为供应商的得分。</w:t>
      </w:r>
    </w:p>
    <w:p>
      <w:pPr>
        <w:spacing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初步评审</w:t>
      </w:r>
    </w:p>
    <w:p>
      <w:pPr>
        <w:spacing w:line="360" w:lineRule="auto"/>
        <w:ind w:firstLine="560" w:firstLineChars="200"/>
        <w:rPr>
          <w:rFonts w:ascii="宋体" w:hAnsi="宋体" w:eastAsia="宋体"/>
          <w:sz w:val="28"/>
          <w:szCs w:val="28"/>
        </w:rPr>
      </w:pPr>
      <w:r>
        <w:rPr>
          <w:rFonts w:ascii="宋体" w:hAnsi="宋体" w:eastAsia="宋体"/>
          <w:sz w:val="28"/>
          <w:szCs w:val="28"/>
        </w:rPr>
        <w:t>4.1.1</w:t>
      </w:r>
      <w:r>
        <w:rPr>
          <w:rFonts w:hint="eastAsia" w:ascii="宋体" w:hAnsi="宋体" w:eastAsia="宋体"/>
          <w:sz w:val="28"/>
          <w:szCs w:val="28"/>
        </w:rPr>
        <w:t>根据参选供应商提交比选文件，其工商营业执照或事业单位法人证书须有效；</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r>
        <w:rPr>
          <w:rFonts w:ascii="宋体" w:hAnsi="宋体" w:eastAsia="宋体"/>
          <w:sz w:val="28"/>
          <w:szCs w:val="28"/>
        </w:rPr>
        <w:t>4.1.</w:t>
      </w:r>
      <w:r>
        <w:rPr>
          <w:rFonts w:hint="eastAsia" w:ascii="宋体" w:hAnsi="宋体" w:eastAsia="宋体"/>
          <w:sz w:val="28"/>
          <w:szCs w:val="28"/>
        </w:rPr>
        <w:t>2本次比选不接受联合体参选。</w:t>
      </w:r>
    </w:p>
    <w:p>
      <w:pPr>
        <w:spacing w:line="360" w:lineRule="auto"/>
        <w:ind w:firstLine="560" w:firstLineChars="200"/>
        <w:rPr>
          <w:rFonts w:ascii="宋体" w:hAnsi="宋体" w:eastAsia="宋体"/>
          <w:sz w:val="28"/>
          <w:szCs w:val="28"/>
        </w:rPr>
      </w:pPr>
      <w:r>
        <w:rPr>
          <w:rFonts w:ascii="宋体" w:hAnsi="宋体" w:eastAsia="宋体"/>
          <w:sz w:val="28"/>
          <w:szCs w:val="28"/>
        </w:rPr>
        <w:t xml:space="preserve">4.2 </w:t>
      </w:r>
      <w:r>
        <w:rPr>
          <w:rFonts w:hint="eastAsia" w:ascii="宋体" w:hAnsi="宋体" w:eastAsia="宋体"/>
          <w:sz w:val="28"/>
          <w:szCs w:val="28"/>
        </w:rPr>
        <w:t>比选人有以下情形之一的，其比选作废选处理：</w:t>
      </w:r>
    </w:p>
    <w:p>
      <w:pPr>
        <w:spacing w:line="360"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被责令停业的；</w:t>
      </w:r>
    </w:p>
    <w:p>
      <w:pPr>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被暂停或取消比选资格的；</w:t>
      </w:r>
    </w:p>
    <w:p>
      <w:pPr>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财产被接管或冻结的；</w:t>
      </w:r>
    </w:p>
    <w:p>
      <w:pPr>
        <w:spacing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在最近三年内有骗取中选或严重违约或重大质量问题的；</w:t>
      </w:r>
    </w:p>
    <w:p>
      <w:pPr>
        <w:spacing w:line="360" w:lineRule="auto"/>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串通比选或弄虚作假等违法行为的；</w:t>
      </w:r>
    </w:p>
    <w:p>
      <w:pPr>
        <w:spacing w:line="360" w:lineRule="auto"/>
        <w:ind w:firstLine="560" w:firstLineChars="2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不按评选委员会要求澄清、说明或补正的；</w:t>
      </w:r>
    </w:p>
    <w:p>
      <w:pPr>
        <w:spacing w:line="360" w:lineRule="auto"/>
        <w:rPr>
          <w:rFonts w:ascii="宋体" w:hAnsi="宋体" w:eastAsia="宋体"/>
          <w:bCs/>
          <w:sz w:val="28"/>
          <w:szCs w:val="28"/>
        </w:rPr>
      </w:pPr>
    </w:p>
    <w:p>
      <w:pPr>
        <w:numPr>
          <w:ilvl w:val="0"/>
          <w:numId w:val="1"/>
        </w:numPr>
        <w:spacing w:line="360" w:lineRule="auto"/>
        <w:rPr>
          <w:rFonts w:ascii="宋体" w:hAnsi="宋体" w:eastAsia="宋体"/>
          <w:b/>
          <w:bCs/>
          <w:sz w:val="28"/>
          <w:szCs w:val="28"/>
        </w:rPr>
      </w:pPr>
      <w:r>
        <w:rPr>
          <w:rFonts w:hint="eastAsia" w:ascii="宋体" w:hAnsi="宋体" w:eastAsia="宋体"/>
          <w:b/>
          <w:bCs/>
          <w:sz w:val="28"/>
          <w:szCs w:val="28"/>
        </w:rPr>
        <w:t>评分明细</w:t>
      </w:r>
    </w:p>
    <w:tbl>
      <w:tblPr>
        <w:tblStyle w:val="5"/>
        <w:tblpPr w:leftFromText="180" w:rightFromText="180" w:vertAnchor="text" w:horzAnchor="page" w:tblpX="1711" w:tblpY="119"/>
        <w:tblOverlap w:val="never"/>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2"/>
        <w:gridCol w:w="1000"/>
        <w:gridCol w:w="3733"/>
        <w:gridCol w:w="95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1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28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评分因素及权重</w:t>
            </w:r>
          </w:p>
        </w:tc>
        <w:tc>
          <w:tcPr>
            <w:tcW w:w="10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w:t>
            </w:r>
          </w:p>
        </w:tc>
        <w:tc>
          <w:tcPr>
            <w:tcW w:w="373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评分标准</w:t>
            </w:r>
          </w:p>
        </w:tc>
        <w:tc>
          <w:tcPr>
            <w:tcW w:w="9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说明</w:t>
            </w:r>
          </w:p>
        </w:tc>
        <w:tc>
          <w:tcPr>
            <w:tcW w:w="72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51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8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报价</w:t>
            </w:r>
            <w:r>
              <w:rPr>
                <w:rFonts w:hint="eastAsia" w:ascii="宋体" w:hAnsi="宋体" w:eastAsia="宋体" w:cs="宋体"/>
                <w:sz w:val="24"/>
                <w:szCs w:val="24"/>
                <w:lang w:val="en-US" w:eastAsia="zh-CN"/>
              </w:rPr>
              <w:t>40</w:t>
            </w:r>
            <w:r>
              <w:rPr>
                <w:rFonts w:hint="eastAsia" w:ascii="宋体" w:hAnsi="宋体" w:eastAsia="宋体" w:cs="宋体"/>
                <w:sz w:val="24"/>
                <w:szCs w:val="24"/>
              </w:rPr>
              <w:t>%</w:t>
            </w:r>
          </w:p>
        </w:tc>
        <w:tc>
          <w:tcPr>
            <w:tcW w:w="10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c>
          <w:tcPr>
            <w:tcW w:w="3733" w:type="dxa"/>
          </w:tcPr>
          <w:p>
            <w:pPr>
              <w:spacing w:line="360" w:lineRule="auto"/>
              <w:rPr>
                <w:rFonts w:ascii="宋体" w:hAnsi="宋体" w:eastAsia="宋体" w:cs="宋体"/>
                <w:sz w:val="24"/>
                <w:szCs w:val="24"/>
              </w:rPr>
            </w:pPr>
            <w:r>
              <w:rPr>
                <w:rFonts w:hint="eastAsia" w:ascii="宋体" w:hAnsi="宋体" w:eastAsia="宋体" w:cs="宋体"/>
                <w:sz w:val="24"/>
                <w:szCs w:val="24"/>
              </w:rPr>
              <w:t>满足比选文件要求且响应价格最低的响应报价为基准价，其价格分为满分。其他供应商的价格分统一按照下列公式计算：报价得分=(比选基准价／比选报价)* 30%*100</w:t>
            </w:r>
          </w:p>
        </w:tc>
        <w:tc>
          <w:tcPr>
            <w:tcW w:w="954"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1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8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迁移服务方案</w:t>
            </w:r>
            <w:r>
              <w:rPr>
                <w:rFonts w:hint="eastAsia" w:ascii="宋体" w:hAnsi="宋体" w:eastAsia="宋体" w:cs="宋体"/>
                <w:sz w:val="24"/>
                <w:szCs w:val="24"/>
                <w:lang w:val="en-US" w:eastAsia="zh-CN"/>
              </w:rPr>
              <w:t>35</w:t>
            </w:r>
            <w:r>
              <w:rPr>
                <w:rFonts w:hint="eastAsia" w:ascii="宋体" w:hAnsi="宋体" w:eastAsia="宋体" w:cs="宋体"/>
                <w:sz w:val="24"/>
                <w:szCs w:val="24"/>
              </w:rPr>
              <w:t>%</w:t>
            </w:r>
          </w:p>
        </w:tc>
        <w:tc>
          <w:tcPr>
            <w:tcW w:w="10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t>分</w:t>
            </w:r>
          </w:p>
        </w:tc>
        <w:tc>
          <w:tcPr>
            <w:tcW w:w="3733" w:type="dxa"/>
          </w:tcPr>
          <w:p>
            <w:pPr>
              <w:spacing w:line="360" w:lineRule="auto"/>
              <w:rPr>
                <w:rFonts w:ascii="宋体" w:hAnsi="宋体" w:eastAsia="宋体" w:cs="宋体"/>
                <w:sz w:val="24"/>
                <w:szCs w:val="24"/>
              </w:rPr>
            </w:pPr>
            <w:r>
              <w:rPr>
                <w:rFonts w:hint="eastAsia" w:ascii="宋体" w:hAnsi="宋体" w:eastAsia="宋体" w:cs="宋体"/>
                <w:sz w:val="24"/>
                <w:szCs w:val="24"/>
              </w:rPr>
              <w:t>根据对供应商迁移服务方案的内容评判</w:t>
            </w:r>
            <w:r>
              <w:rPr>
                <w:rFonts w:hint="eastAsia" w:ascii="宋体" w:hAnsi="宋体" w:eastAsia="宋体" w:cs="宋体"/>
                <w:sz w:val="24"/>
                <w:szCs w:val="24"/>
                <w:lang w:eastAsia="zh-CN"/>
              </w:rPr>
              <w:t>，</w:t>
            </w:r>
            <w:r>
              <w:rPr>
                <w:rFonts w:hint="eastAsia" w:ascii="宋体" w:hAnsi="宋体" w:eastAsia="宋体" w:cs="宋体"/>
                <w:sz w:val="24"/>
                <w:szCs w:val="24"/>
              </w:rPr>
              <w:t>完全符合比选文件服务要求没有负偏离的得</w:t>
            </w:r>
            <w:r>
              <w:rPr>
                <w:rFonts w:hint="eastAsia" w:ascii="宋体" w:hAnsi="宋体" w:eastAsia="宋体" w:cs="宋体"/>
                <w:sz w:val="24"/>
                <w:szCs w:val="24"/>
                <w:lang w:val="en-US" w:eastAsia="zh-CN"/>
              </w:rPr>
              <w:t>35</w:t>
            </w:r>
            <w:r>
              <w:rPr>
                <w:rFonts w:hint="eastAsia" w:ascii="宋体" w:hAnsi="宋体" w:eastAsia="宋体" w:cs="宋体"/>
                <w:sz w:val="24"/>
                <w:szCs w:val="24"/>
              </w:rPr>
              <w:t>分，负偏离每一项扣</w:t>
            </w:r>
            <w:r>
              <w:rPr>
                <w:rFonts w:hint="eastAsia" w:ascii="宋体" w:hAnsi="宋体" w:eastAsia="宋体" w:cs="宋体"/>
                <w:sz w:val="24"/>
                <w:szCs w:val="24"/>
                <w:lang w:val="en-US" w:eastAsia="zh-CN"/>
              </w:rPr>
              <w:t>7</w:t>
            </w:r>
            <w:r>
              <w:rPr>
                <w:rFonts w:hint="eastAsia" w:ascii="宋体" w:hAnsi="宋体" w:eastAsia="宋体" w:cs="宋体"/>
                <w:sz w:val="24"/>
                <w:szCs w:val="24"/>
              </w:rPr>
              <w:t>分，扣完为止。</w:t>
            </w:r>
          </w:p>
        </w:tc>
        <w:tc>
          <w:tcPr>
            <w:tcW w:w="954"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519"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28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业绩</w:t>
            </w:r>
          </w:p>
          <w:p>
            <w:pPr>
              <w:spacing w:line="360" w:lineRule="auto"/>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5%</w:t>
            </w:r>
          </w:p>
        </w:tc>
        <w:tc>
          <w:tcPr>
            <w:tcW w:w="10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15分</w:t>
            </w:r>
          </w:p>
        </w:tc>
        <w:tc>
          <w:tcPr>
            <w:tcW w:w="3733" w:type="dxa"/>
          </w:tcPr>
          <w:p>
            <w:pPr>
              <w:spacing w:line="360" w:lineRule="auto"/>
              <w:rPr>
                <w:rFonts w:ascii="宋体" w:hAnsi="宋体" w:eastAsia="宋体" w:cs="宋体"/>
                <w:sz w:val="24"/>
                <w:szCs w:val="24"/>
              </w:rPr>
            </w:pPr>
            <w:r>
              <w:rPr>
                <w:rFonts w:hint="eastAsia" w:ascii="宋体" w:hAnsi="宋体" w:eastAsia="宋体" w:cs="宋体"/>
                <w:sz w:val="24"/>
                <w:szCs w:val="24"/>
              </w:rPr>
              <w:t>供应商具备</w:t>
            </w:r>
            <w:r>
              <w:rPr>
                <w:rFonts w:hint="eastAsia" w:ascii="宋体" w:hAnsi="宋体" w:eastAsia="宋体" w:cs="宋体"/>
                <w:sz w:val="24"/>
                <w:szCs w:val="24"/>
                <w:lang w:val="en-US" w:eastAsia="zh-CN"/>
              </w:rPr>
              <w:t>政府机关</w:t>
            </w:r>
            <w:bookmarkStart w:id="0" w:name="_GoBack"/>
            <w:bookmarkEnd w:id="0"/>
            <w:r>
              <w:rPr>
                <w:rFonts w:hint="eastAsia" w:ascii="宋体" w:hAnsi="宋体" w:eastAsia="宋体" w:cs="宋体"/>
                <w:sz w:val="24"/>
                <w:szCs w:val="24"/>
              </w:rPr>
              <w:t>单位项目业绩，每有一个得5分，最多的15分；未提供的不得分。（提供相关合同或其他有效证明文件）</w:t>
            </w:r>
          </w:p>
        </w:tc>
        <w:tc>
          <w:tcPr>
            <w:tcW w:w="954" w:type="dxa"/>
            <w:vAlign w:val="center"/>
          </w:tcPr>
          <w:p>
            <w:pPr>
              <w:spacing w:line="360" w:lineRule="auto"/>
              <w:jc w:val="center"/>
              <w:rPr>
                <w:rFonts w:ascii="宋体" w:hAnsi="宋体" w:eastAsia="宋体" w:cs="宋体"/>
                <w:sz w:val="24"/>
                <w:szCs w:val="24"/>
              </w:rPr>
            </w:pP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共同评分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19"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28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投标人实力10%</w:t>
            </w:r>
          </w:p>
        </w:tc>
        <w:tc>
          <w:tcPr>
            <w:tcW w:w="1000" w:type="dxa"/>
            <w:vAlign w:val="center"/>
          </w:tcPr>
          <w:p>
            <w:pPr>
              <w:spacing w:line="360" w:lineRule="auto"/>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0分</w:t>
            </w:r>
          </w:p>
        </w:tc>
        <w:tc>
          <w:tcPr>
            <w:tcW w:w="3733" w:type="dxa"/>
          </w:tcPr>
          <w:p>
            <w:pPr>
              <w:spacing w:line="360" w:lineRule="auto"/>
              <w:rPr>
                <w:rFonts w:ascii="宋体" w:hAnsi="宋体" w:eastAsia="宋体" w:cs="宋体"/>
                <w:sz w:val="24"/>
                <w:szCs w:val="24"/>
              </w:rPr>
            </w:pPr>
            <w:r>
              <w:rPr>
                <w:rFonts w:hint="eastAsia" w:ascii="宋体" w:hAnsi="宋体" w:eastAsia="宋体" w:cs="宋体"/>
                <w:sz w:val="24"/>
                <w:szCs w:val="24"/>
              </w:rPr>
              <w:t>供应商提供国家级证书或称号的得10分，省级证书或称号的得5分，其他不得分。</w:t>
            </w:r>
          </w:p>
        </w:tc>
        <w:tc>
          <w:tcPr>
            <w:tcW w:w="954" w:type="dxa"/>
            <w:vAlign w:val="center"/>
          </w:tcPr>
          <w:p>
            <w:pPr>
              <w:spacing w:line="360" w:lineRule="auto"/>
              <w:jc w:val="center"/>
              <w:rPr>
                <w:rFonts w:ascii="宋体" w:hAnsi="宋体" w:eastAsia="宋体" w:cs="宋体"/>
                <w:sz w:val="24"/>
                <w:szCs w:val="24"/>
              </w:rPr>
            </w:pP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共同评分</w:t>
            </w:r>
          </w:p>
        </w:tc>
      </w:tr>
    </w:tbl>
    <w:p>
      <w:pPr>
        <w:numPr>
          <w:ilvl w:val="0"/>
          <w:numId w:val="0"/>
        </w:numPr>
        <w:spacing w:line="360" w:lineRule="auto"/>
        <w:ind w:leftChars="0"/>
        <w:rPr>
          <w:rFonts w:ascii="宋体" w:hAnsi="宋体" w:eastAsia="宋体"/>
          <w:b/>
          <w:bCs/>
          <w:sz w:val="28"/>
          <w:szCs w:val="28"/>
        </w:rPr>
      </w:pPr>
    </w:p>
    <w:p>
      <w:pPr>
        <w:spacing w:line="360" w:lineRule="auto"/>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18C16"/>
    <w:multiLevelType w:val="singleLevel"/>
    <w:tmpl w:val="C3A18C16"/>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3F"/>
    <w:rsid w:val="00057029"/>
    <w:rsid w:val="00090CC5"/>
    <w:rsid w:val="002A07E4"/>
    <w:rsid w:val="00335996"/>
    <w:rsid w:val="00504389"/>
    <w:rsid w:val="00537DD4"/>
    <w:rsid w:val="0055578D"/>
    <w:rsid w:val="0055782D"/>
    <w:rsid w:val="00655C06"/>
    <w:rsid w:val="006777BD"/>
    <w:rsid w:val="008F07D6"/>
    <w:rsid w:val="00A614E5"/>
    <w:rsid w:val="00B73D1D"/>
    <w:rsid w:val="00B9219D"/>
    <w:rsid w:val="00CC78C3"/>
    <w:rsid w:val="00D73E72"/>
    <w:rsid w:val="00EA2050"/>
    <w:rsid w:val="00EF37B5"/>
    <w:rsid w:val="00FE623F"/>
    <w:rsid w:val="2B5C75DA"/>
    <w:rsid w:val="3A4B5A86"/>
    <w:rsid w:val="45C50554"/>
    <w:rsid w:val="4F0C4B9E"/>
    <w:rsid w:val="6822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Words>
  <Characters>707</Characters>
  <Lines>5</Lines>
  <Paragraphs>1</Paragraphs>
  <TotalTime>5</TotalTime>
  <ScaleCrop>false</ScaleCrop>
  <LinksUpToDate>false</LinksUpToDate>
  <CharactersWithSpaces>829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2020-09-10T06:40:00Z</dcterms:created>
  <dc:creator>张</dc:creator>
  <cp:lastModifiedBy>dell</cp:lastModifiedBy>
  <cp:lastPrinted>2020-09-14T07:02:00Z</cp:lastPrinted>
  <dcterms:modified xsi:type="dcterms:W3CDTF">2020-09-16T03:36:00Z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